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Anagrafe e statistica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Accertamento requisiti di dimora abituale delle variazioni di residenza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Ambruoso Caterina </w:t>
            </w:r>
          </w:p>
          <w:p>
            <w:pPr>
              <w:jc w:val="both"/>
            </w:pPr>
            <w:r>
              <w:rPr>
                <w:sz w:val="22"/>
                <w:szCs w:val="22"/>
              </w:rPr>
              <w:t xml:space="preserve">Sig. Pancrazio Errico </w:t>
            </w:r>
          </w:p>
          <w:p>
            <w:pPr>
              <w:jc w:val="both"/>
            </w:pPr>
            <w:r>
              <w:rPr>
                <w:sz w:val="22"/>
                <w:szCs w:val="22"/>
              </w:rPr>
              <w:t xml:space="preserve">Dott.ssa Bodino Carmen </w:t>
            </w:r>
          </w:p>
          <w:p>
            <w:pPr>
              <w:jc w:val="both"/>
            </w:pPr>
            <w:r>
              <w:rPr>
                <w:sz w:val="22"/>
                <w:szCs w:val="22"/>
              </w:rPr>
              <w:t xml:space="preserve">Sig.ra Bellomo Clotilde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Accertamento requisiti di dimora abituale delle variazioni di residenza.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